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6C1D" w14:textId="757BF557" w:rsidR="00F32627" w:rsidRDefault="00F32627" w:rsidP="00F32627">
      <w:pPr>
        <w:ind w:right="89"/>
        <w:jc w:val="center"/>
        <w:rPr>
          <w:rFonts w:ascii="Open Sans" w:hAnsi="Open Sans" w:cs="Open Sans"/>
          <w:b/>
          <w:bCs/>
          <w:sz w:val="22"/>
          <w:szCs w:val="22"/>
        </w:rPr>
      </w:pPr>
      <w:r>
        <w:rPr>
          <w:rFonts w:ascii="Open Sans" w:hAnsi="Open Sans" w:cs="Open Sans"/>
          <w:b/>
          <w:bCs/>
          <w:sz w:val="22"/>
          <w:szCs w:val="22"/>
        </w:rPr>
        <w:t>Annual Duty Of Candour Report – period ending 31</w:t>
      </w:r>
      <w:r w:rsidRPr="00F32627">
        <w:rPr>
          <w:rFonts w:ascii="Open Sans" w:hAnsi="Open Sans" w:cs="Open Sans"/>
          <w:b/>
          <w:bCs/>
          <w:sz w:val="22"/>
          <w:szCs w:val="22"/>
          <w:vertAlign w:val="superscript"/>
        </w:rPr>
        <w:t>st</w:t>
      </w:r>
      <w:r>
        <w:rPr>
          <w:rFonts w:ascii="Open Sans" w:hAnsi="Open Sans" w:cs="Open Sans"/>
          <w:b/>
          <w:bCs/>
          <w:sz w:val="22"/>
          <w:szCs w:val="22"/>
        </w:rPr>
        <w:t xml:space="preserve"> March 2022</w:t>
      </w:r>
    </w:p>
    <w:p w14:paraId="5B5FB939" w14:textId="77777777" w:rsidR="00F32627" w:rsidRDefault="00F32627" w:rsidP="00EF542C">
      <w:pPr>
        <w:ind w:right="89"/>
        <w:jc w:val="both"/>
        <w:rPr>
          <w:rFonts w:ascii="Open Sans" w:hAnsi="Open Sans" w:cs="Open Sans"/>
          <w:b/>
          <w:bCs/>
          <w:sz w:val="22"/>
          <w:szCs w:val="22"/>
        </w:rPr>
      </w:pPr>
    </w:p>
    <w:p w14:paraId="7573DE78" w14:textId="73CD3197" w:rsidR="007125A8" w:rsidRPr="00EF542C" w:rsidRDefault="007125A8" w:rsidP="00EF542C">
      <w:pPr>
        <w:ind w:right="89"/>
        <w:jc w:val="both"/>
        <w:rPr>
          <w:rFonts w:ascii="Open Sans" w:hAnsi="Open Sans" w:cs="Open Sans"/>
          <w:b/>
          <w:bCs/>
          <w:sz w:val="22"/>
          <w:szCs w:val="22"/>
        </w:rPr>
      </w:pPr>
      <w:r w:rsidRPr="00EF542C">
        <w:rPr>
          <w:rFonts w:ascii="Open Sans" w:hAnsi="Open Sans" w:cs="Open Sans"/>
          <w:b/>
          <w:bCs/>
          <w:sz w:val="22"/>
          <w:szCs w:val="22"/>
        </w:rPr>
        <w:t>The duty of candour</w:t>
      </w:r>
    </w:p>
    <w:p w14:paraId="554FA013" w14:textId="77777777" w:rsidR="007125A8" w:rsidRPr="00EF542C" w:rsidRDefault="007125A8" w:rsidP="00EF542C">
      <w:pPr>
        <w:ind w:right="89"/>
        <w:jc w:val="both"/>
        <w:rPr>
          <w:rFonts w:ascii="Open Sans" w:hAnsi="Open Sans" w:cs="Open Sans"/>
          <w:b/>
          <w:bCs/>
          <w:sz w:val="22"/>
          <w:szCs w:val="22"/>
        </w:rPr>
      </w:pPr>
    </w:p>
    <w:p w14:paraId="71DEB441" w14:textId="587BC975" w:rsidR="007125A8" w:rsidRPr="00EF542C" w:rsidRDefault="007125A8" w:rsidP="00EF542C">
      <w:pPr>
        <w:ind w:right="89"/>
        <w:jc w:val="both"/>
        <w:rPr>
          <w:rFonts w:ascii="Open Sans" w:hAnsi="Open Sans" w:cs="Open Sans"/>
          <w:sz w:val="22"/>
          <w:szCs w:val="22"/>
        </w:rPr>
      </w:pPr>
      <w:r w:rsidRPr="00EF542C">
        <w:rPr>
          <w:rFonts w:ascii="Open Sans" w:hAnsi="Open Sans" w:cs="Open Sans"/>
          <w:sz w:val="22"/>
          <w:szCs w:val="22"/>
        </w:rPr>
        <w:t>The Health (Tobacco, Nicotine etc. and Care) (Scotland) Act 2016 (The Act) and The Duty of Candour Procedure (Scotland) Regulations 2018 (the Regulations) set out a new Duty of Candour.</w:t>
      </w:r>
    </w:p>
    <w:p w14:paraId="4FAF19D1" w14:textId="77777777" w:rsidR="00924F82" w:rsidRPr="00EF542C" w:rsidRDefault="00924F82" w:rsidP="00EF542C">
      <w:pPr>
        <w:ind w:right="89"/>
        <w:jc w:val="both"/>
        <w:rPr>
          <w:rFonts w:ascii="Open Sans" w:hAnsi="Open Sans" w:cs="Open Sans"/>
          <w:sz w:val="22"/>
          <w:szCs w:val="22"/>
        </w:rPr>
      </w:pPr>
    </w:p>
    <w:p w14:paraId="2995EC5D" w14:textId="1F76CA5E" w:rsidR="007125A8" w:rsidRPr="00EF542C" w:rsidRDefault="007125A8" w:rsidP="00EF542C">
      <w:pPr>
        <w:ind w:right="89"/>
        <w:jc w:val="both"/>
        <w:rPr>
          <w:rFonts w:ascii="Open Sans" w:hAnsi="Open Sans" w:cs="Open Sans"/>
          <w:sz w:val="22"/>
          <w:szCs w:val="22"/>
        </w:rPr>
      </w:pPr>
      <w:r w:rsidRPr="00EF542C">
        <w:rPr>
          <w:rFonts w:ascii="Open Sans" w:hAnsi="Open Sans" w:cs="Open Sans"/>
          <w:sz w:val="22"/>
          <w:szCs w:val="22"/>
        </w:rPr>
        <w:t>The Act and the Regulations require organisations providing health services, care services and social work services in Scotland to follow a formalised procedure when there has been an unintended or unexpected incident that results in death or harm (or additional treatment is required to prevent injury that would result in death or harm).</w:t>
      </w:r>
    </w:p>
    <w:p w14:paraId="0B13CB30" w14:textId="77777777" w:rsidR="00924F82" w:rsidRPr="00EF542C" w:rsidRDefault="00924F82" w:rsidP="00EF542C">
      <w:pPr>
        <w:ind w:right="89"/>
        <w:jc w:val="both"/>
        <w:rPr>
          <w:rFonts w:ascii="Open Sans" w:hAnsi="Open Sans" w:cs="Open Sans"/>
          <w:sz w:val="22"/>
          <w:szCs w:val="22"/>
        </w:rPr>
      </w:pPr>
    </w:p>
    <w:p w14:paraId="534A061B" w14:textId="56824265" w:rsidR="007125A8" w:rsidRPr="00EF542C" w:rsidRDefault="007125A8" w:rsidP="00EF542C">
      <w:pPr>
        <w:ind w:right="89"/>
        <w:jc w:val="both"/>
        <w:rPr>
          <w:rFonts w:ascii="Open Sans" w:hAnsi="Open Sans" w:cs="Open Sans"/>
          <w:sz w:val="22"/>
          <w:szCs w:val="22"/>
        </w:rPr>
      </w:pPr>
      <w:r w:rsidRPr="00EF542C">
        <w:rPr>
          <w:rFonts w:ascii="Open Sans" w:hAnsi="Open Sans" w:cs="Open Sans"/>
          <w:sz w:val="22"/>
          <w:szCs w:val="22"/>
        </w:rPr>
        <w:t xml:space="preserve">The purpose of this duty is to ensure that providers are open, honest, supportive and providing a person-centred approach. </w:t>
      </w:r>
    </w:p>
    <w:p w14:paraId="748AA4D9" w14:textId="77777777" w:rsidR="00924F82" w:rsidRPr="00EF542C" w:rsidRDefault="00924F82" w:rsidP="00EF542C">
      <w:pPr>
        <w:ind w:right="89"/>
        <w:jc w:val="both"/>
        <w:rPr>
          <w:rFonts w:ascii="Open Sans" w:hAnsi="Open Sans" w:cs="Open Sans"/>
          <w:sz w:val="22"/>
          <w:szCs w:val="22"/>
        </w:rPr>
      </w:pPr>
    </w:p>
    <w:p w14:paraId="7AECF548" w14:textId="54C358B2" w:rsidR="007125A8" w:rsidRPr="00EF542C" w:rsidRDefault="00924F82" w:rsidP="00EF542C">
      <w:pPr>
        <w:ind w:right="89"/>
        <w:jc w:val="both"/>
        <w:rPr>
          <w:rFonts w:ascii="Open Sans" w:hAnsi="Open Sans" w:cs="Open Sans"/>
          <w:b/>
          <w:bCs/>
          <w:sz w:val="22"/>
          <w:szCs w:val="22"/>
        </w:rPr>
      </w:pPr>
      <w:r w:rsidRPr="00EF542C">
        <w:rPr>
          <w:rFonts w:ascii="Open Sans" w:hAnsi="Open Sans" w:cs="Open Sans"/>
          <w:b/>
          <w:bCs/>
          <w:sz w:val="22"/>
          <w:szCs w:val="22"/>
        </w:rPr>
        <w:t xml:space="preserve">1. </w:t>
      </w:r>
      <w:r w:rsidR="007125A8" w:rsidRPr="00EF542C">
        <w:rPr>
          <w:rFonts w:ascii="Open Sans" w:hAnsi="Open Sans" w:cs="Open Sans"/>
          <w:b/>
          <w:bCs/>
          <w:sz w:val="22"/>
          <w:szCs w:val="22"/>
        </w:rPr>
        <w:t>Duty of Candour Procedure</w:t>
      </w:r>
    </w:p>
    <w:p w14:paraId="6FF471AD" w14:textId="77777777" w:rsidR="00924F82" w:rsidRPr="00EF542C" w:rsidRDefault="00924F82" w:rsidP="00EF542C">
      <w:pPr>
        <w:ind w:right="89"/>
        <w:jc w:val="both"/>
        <w:rPr>
          <w:rFonts w:ascii="Open Sans" w:hAnsi="Open Sans" w:cs="Open Sans"/>
          <w:sz w:val="22"/>
          <w:szCs w:val="22"/>
        </w:rPr>
      </w:pPr>
    </w:p>
    <w:p w14:paraId="731E799F" w14:textId="37FB269A" w:rsidR="007125A8" w:rsidRPr="00EF542C" w:rsidRDefault="007125A8" w:rsidP="00EF542C">
      <w:pPr>
        <w:ind w:right="89"/>
        <w:jc w:val="both"/>
        <w:rPr>
          <w:rFonts w:ascii="Open Sans" w:hAnsi="Open Sans" w:cs="Open Sans"/>
          <w:sz w:val="22"/>
          <w:szCs w:val="22"/>
        </w:rPr>
      </w:pPr>
      <w:r w:rsidRPr="00EF542C">
        <w:rPr>
          <w:rFonts w:ascii="Open Sans" w:hAnsi="Open Sans" w:cs="Open Sans"/>
          <w:sz w:val="22"/>
          <w:szCs w:val="22"/>
        </w:rPr>
        <w:t xml:space="preserve">As a provider of an independent </w:t>
      </w:r>
      <w:r w:rsidR="00BD6851">
        <w:rPr>
          <w:rFonts w:ascii="Open Sans" w:hAnsi="Open Sans" w:cs="Open Sans"/>
          <w:sz w:val="22"/>
          <w:szCs w:val="22"/>
        </w:rPr>
        <w:t>social</w:t>
      </w:r>
      <w:r w:rsidRPr="00EF542C">
        <w:rPr>
          <w:rFonts w:ascii="Open Sans" w:hAnsi="Open Sans" w:cs="Open Sans"/>
          <w:sz w:val="22"/>
          <w:szCs w:val="22"/>
        </w:rPr>
        <w:t xml:space="preserve"> care service, we are required to develop and implement a duty of candour policy that describes how we/our staff will act in the event of an unintended or unexpected incident that results in death or harm (or additional treatment is required to prevent injury that would result in death or harm).</w:t>
      </w:r>
    </w:p>
    <w:p w14:paraId="14F6506E" w14:textId="77777777" w:rsidR="00924F82" w:rsidRPr="00EF542C" w:rsidRDefault="00924F82" w:rsidP="00EF542C">
      <w:pPr>
        <w:ind w:right="89"/>
        <w:jc w:val="both"/>
        <w:rPr>
          <w:rFonts w:ascii="Open Sans" w:hAnsi="Open Sans" w:cs="Open Sans"/>
          <w:sz w:val="22"/>
          <w:szCs w:val="22"/>
        </w:rPr>
      </w:pPr>
    </w:p>
    <w:p w14:paraId="732CB82D" w14:textId="77777777" w:rsidR="007125A8" w:rsidRPr="00EF542C" w:rsidRDefault="007125A8" w:rsidP="00EF542C">
      <w:pPr>
        <w:ind w:right="89"/>
        <w:jc w:val="both"/>
        <w:rPr>
          <w:rFonts w:ascii="Open Sans" w:hAnsi="Open Sans" w:cs="Open Sans"/>
          <w:sz w:val="22"/>
          <w:szCs w:val="22"/>
        </w:rPr>
      </w:pPr>
      <w:r w:rsidRPr="00EF542C">
        <w:rPr>
          <w:rFonts w:ascii="Open Sans" w:hAnsi="Open Sans" w:cs="Open Sans"/>
          <w:sz w:val="22"/>
          <w:szCs w:val="22"/>
        </w:rPr>
        <w:t>The key stages of the policy must include:</w:t>
      </w:r>
    </w:p>
    <w:p w14:paraId="15A29A73" w14:textId="148B56CC" w:rsidR="007125A8" w:rsidRPr="00EF542C" w:rsidRDefault="007125A8" w:rsidP="00EF542C">
      <w:pPr>
        <w:pStyle w:val="ListParagraph"/>
        <w:numPr>
          <w:ilvl w:val="0"/>
          <w:numId w:val="2"/>
        </w:numPr>
        <w:ind w:right="89"/>
        <w:jc w:val="both"/>
        <w:rPr>
          <w:rFonts w:ascii="Open Sans" w:hAnsi="Open Sans" w:cs="Open Sans"/>
          <w:sz w:val="22"/>
          <w:szCs w:val="22"/>
        </w:rPr>
      </w:pPr>
      <w:r w:rsidRPr="00EF542C">
        <w:rPr>
          <w:rFonts w:ascii="Open Sans" w:hAnsi="Open Sans" w:cs="Open Sans"/>
          <w:sz w:val="22"/>
          <w:szCs w:val="22"/>
        </w:rPr>
        <w:t>Notify the person affected (or family/relative where appropriate);</w:t>
      </w:r>
    </w:p>
    <w:p w14:paraId="1A0BEA3F" w14:textId="13E0766C" w:rsidR="007125A8" w:rsidRPr="00EF542C" w:rsidRDefault="007125A8" w:rsidP="00EF542C">
      <w:pPr>
        <w:pStyle w:val="ListParagraph"/>
        <w:numPr>
          <w:ilvl w:val="0"/>
          <w:numId w:val="2"/>
        </w:numPr>
        <w:ind w:right="89"/>
        <w:jc w:val="both"/>
        <w:rPr>
          <w:rFonts w:ascii="Open Sans" w:hAnsi="Open Sans" w:cs="Open Sans"/>
          <w:sz w:val="22"/>
          <w:szCs w:val="22"/>
        </w:rPr>
      </w:pPr>
      <w:r w:rsidRPr="00EF542C">
        <w:rPr>
          <w:rFonts w:ascii="Open Sans" w:hAnsi="Open Sans" w:cs="Open Sans"/>
          <w:sz w:val="22"/>
          <w:szCs w:val="22"/>
        </w:rPr>
        <w:t>Provide an apology;</w:t>
      </w:r>
    </w:p>
    <w:p w14:paraId="56263CC4" w14:textId="198463B1" w:rsidR="007125A8" w:rsidRPr="00EF542C" w:rsidRDefault="007125A8" w:rsidP="00EF542C">
      <w:pPr>
        <w:pStyle w:val="ListParagraph"/>
        <w:numPr>
          <w:ilvl w:val="0"/>
          <w:numId w:val="2"/>
        </w:numPr>
        <w:ind w:right="89"/>
        <w:jc w:val="both"/>
        <w:rPr>
          <w:rFonts w:ascii="Open Sans" w:hAnsi="Open Sans" w:cs="Open Sans"/>
          <w:sz w:val="22"/>
          <w:szCs w:val="22"/>
        </w:rPr>
      </w:pPr>
      <w:r w:rsidRPr="00EF542C">
        <w:rPr>
          <w:rFonts w:ascii="Open Sans" w:hAnsi="Open Sans" w:cs="Open Sans"/>
          <w:sz w:val="22"/>
          <w:szCs w:val="22"/>
        </w:rPr>
        <w:t>Carry out a review into the circumstances that led to the incident;</w:t>
      </w:r>
    </w:p>
    <w:p w14:paraId="13F608CB" w14:textId="6D2B5C7F" w:rsidR="007125A8" w:rsidRPr="00EF542C" w:rsidRDefault="007125A8" w:rsidP="00EF542C">
      <w:pPr>
        <w:pStyle w:val="ListParagraph"/>
        <w:numPr>
          <w:ilvl w:val="0"/>
          <w:numId w:val="2"/>
        </w:numPr>
        <w:ind w:right="89"/>
        <w:jc w:val="both"/>
        <w:rPr>
          <w:rFonts w:ascii="Open Sans" w:hAnsi="Open Sans" w:cs="Open Sans"/>
          <w:sz w:val="22"/>
          <w:szCs w:val="22"/>
        </w:rPr>
      </w:pPr>
      <w:r w:rsidRPr="00EF542C">
        <w:rPr>
          <w:rFonts w:ascii="Open Sans" w:hAnsi="Open Sans" w:cs="Open Sans"/>
          <w:sz w:val="22"/>
          <w:szCs w:val="22"/>
        </w:rPr>
        <w:t>Offer a meeting with the person affected and/or their family, where appropriate;</w:t>
      </w:r>
    </w:p>
    <w:p w14:paraId="60BC0233" w14:textId="1556FA2F" w:rsidR="007125A8" w:rsidRPr="00EF542C" w:rsidRDefault="007125A8" w:rsidP="00EF542C">
      <w:pPr>
        <w:pStyle w:val="ListParagraph"/>
        <w:numPr>
          <w:ilvl w:val="0"/>
          <w:numId w:val="2"/>
        </w:numPr>
        <w:ind w:right="89"/>
        <w:jc w:val="both"/>
        <w:rPr>
          <w:rFonts w:ascii="Open Sans" w:hAnsi="Open Sans" w:cs="Open Sans"/>
          <w:sz w:val="22"/>
          <w:szCs w:val="22"/>
        </w:rPr>
      </w:pPr>
      <w:r w:rsidRPr="00EF542C">
        <w:rPr>
          <w:rFonts w:ascii="Open Sans" w:hAnsi="Open Sans" w:cs="Open Sans"/>
          <w:sz w:val="22"/>
          <w:szCs w:val="22"/>
        </w:rPr>
        <w:t>Provide the person affected with an account of the incident;</w:t>
      </w:r>
    </w:p>
    <w:p w14:paraId="27AD500C" w14:textId="5CA36B4D" w:rsidR="007125A8" w:rsidRPr="00EF542C" w:rsidRDefault="007125A8" w:rsidP="00EF542C">
      <w:pPr>
        <w:pStyle w:val="ListParagraph"/>
        <w:numPr>
          <w:ilvl w:val="0"/>
          <w:numId w:val="2"/>
        </w:numPr>
        <w:ind w:right="89"/>
        <w:jc w:val="both"/>
        <w:rPr>
          <w:rFonts w:ascii="Open Sans" w:hAnsi="Open Sans" w:cs="Open Sans"/>
          <w:sz w:val="22"/>
          <w:szCs w:val="22"/>
        </w:rPr>
      </w:pPr>
      <w:r w:rsidRPr="00EF542C">
        <w:rPr>
          <w:rFonts w:ascii="Open Sans" w:hAnsi="Open Sans" w:cs="Open Sans"/>
          <w:sz w:val="22"/>
          <w:szCs w:val="22"/>
        </w:rPr>
        <w:t>Provide information about further steps taken;</w:t>
      </w:r>
    </w:p>
    <w:p w14:paraId="3EE496F4" w14:textId="48DCD92D" w:rsidR="007125A8" w:rsidRPr="00EF542C" w:rsidRDefault="007125A8" w:rsidP="00EF542C">
      <w:pPr>
        <w:pStyle w:val="ListParagraph"/>
        <w:numPr>
          <w:ilvl w:val="0"/>
          <w:numId w:val="2"/>
        </w:numPr>
        <w:ind w:right="89"/>
        <w:jc w:val="both"/>
        <w:rPr>
          <w:rFonts w:ascii="Open Sans" w:hAnsi="Open Sans" w:cs="Open Sans"/>
          <w:sz w:val="22"/>
          <w:szCs w:val="22"/>
        </w:rPr>
      </w:pPr>
      <w:r w:rsidRPr="00EF542C">
        <w:rPr>
          <w:rFonts w:ascii="Open Sans" w:hAnsi="Open Sans" w:cs="Open Sans"/>
          <w:sz w:val="22"/>
          <w:szCs w:val="22"/>
        </w:rPr>
        <w:t>Provide support to staff notifying the person affected by the incident;</w:t>
      </w:r>
    </w:p>
    <w:p w14:paraId="627FEA20" w14:textId="001056A0" w:rsidR="007125A8" w:rsidRPr="00EF542C" w:rsidRDefault="007125A8" w:rsidP="00EF542C">
      <w:pPr>
        <w:pStyle w:val="ListParagraph"/>
        <w:numPr>
          <w:ilvl w:val="0"/>
          <w:numId w:val="2"/>
        </w:numPr>
        <w:ind w:right="89"/>
        <w:jc w:val="both"/>
        <w:rPr>
          <w:rFonts w:ascii="Open Sans" w:hAnsi="Open Sans" w:cs="Open Sans"/>
          <w:sz w:val="22"/>
          <w:szCs w:val="22"/>
        </w:rPr>
      </w:pPr>
      <w:r w:rsidRPr="00EF542C">
        <w:rPr>
          <w:rFonts w:ascii="Open Sans" w:hAnsi="Open Sans" w:cs="Open Sans"/>
          <w:sz w:val="22"/>
          <w:szCs w:val="22"/>
        </w:rPr>
        <w:t>Prepare and publish an annual duty of candour report (see below).</w:t>
      </w:r>
    </w:p>
    <w:p w14:paraId="2F84A3F9" w14:textId="77777777" w:rsidR="00924F82" w:rsidRPr="00EF542C" w:rsidRDefault="00924F82" w:rsidP="007522BC">
      <w:pPr>
        <w:pStyle w:val="ListParagraph"/>
        <w:ind w:right="89"/>
        <w:jc w:val="both"/>
        <w:rPr>
          <w:rFonts w:ascii="Open Sans" w:hAnsi="Open Sans" w:cs="Open Sans"/>
          <w:sz w:val="22"/>
          <w:szCs w:val="22"/>
        </w:rPr>
      </w:pPr>
    </w:p>
    <w:p w14:paraId="68E15A30" w14:textId="072C336F" w:rsidR="00EA0F6E" w:rsidRPr="00EF542C" w:rsidRDefault="007125A8" w:rsidP="00EF542C">
      <w:pPr>
        <w:ind w:right="89"/>
        <w:jc w:val="both"/>
        <w:rPr>
          <w:rFonts w:ascii="Open Sans" w:hAnsi="Open Sans" w:cs="Open Sans"/>
          <w:sz w:val="22"/>
          <w:szCs w:val="22"/>
        </w:rPr>
      </w:pPr>
      <w:r w:rsidRPr="00EF542C">
        <w:rPr>
          <w:rFonts w:ascii="Open Sans" w:hAnsi="Open Sans" w:cs="Open Sans"/>
          <w:sz w:val="22"/>
          <w:szCs w:val="22"/>
        </w:rPr>
        <w:t>Further guidance on when the duty must be implemented can be found in the Scottish Government Duty of Candour Guidance</w:t>
      </w:r>
      <w:r w:rsidR="00924F82" w:rsidRPr="00EF542C">
        <w:rPr>
          <w:rFonts w:ascii="Open Sans" w:hAnsi="Open Sans" w:cs="Open Sans"/>
          <w:sz w:val="22"/>
          <w:szCs w:val="22"/>
        </w:rPr>
        <w:t xml:space="preserve"> (</w:t>
      </w:r>
      <w:hyperlink r:id="rId10" w:history="1">
        <w:r w:rsidR="00594169" w:rsidRPr="00EF542C">
          <w:rPr>
            <w:rStyle w:val="Hyperlink"/>
            <w:rFonts w:ascii="Open Sans" w:hAnsi="Open Sans" w:cs="Open Sans"/>
            <w:sz w:val="22"/>
            <w:szCs w:val="22"/>
          </w:rPr>
          <w:t>Organisational duty of candour: guidance - gov.scot (www.gov.scot)</w:t>
        </w:r>
      </w:hyperlink>
      <w:r w:rsidR="003F5223" w:rsidRPr="00EF542C">
        <w:rPr>
          <w:rFonts w:ascii="Open Sans" w:hAnsi="Open Sans" w:cs="Open Sans"/>
          <w:sz w:val="22"/>
          <w:szCs w:val="22"/>
        </w:rPr>
        <w:t>)</w:t>
      </w:r>
      <w:r w:rsidRPr="00EF542C">
        <w:rPr>
          <w:rFonts w:ascii="Open Sans" w:hAnsi="Open Sans" w:cs="Open Sans"/>
          <w:sz w:val="22"/>
          <w:szCs w:val="22"/>
        </w:rPr>
        <w:t xml:space="preserve"> and the dedicated webpage</w:t>
      </w:r>
      <w:r w:rsidR="003F5223" w:rsidRPr="00EF542C">
        <w:rPr>
          <w:rFonts w:ascii="Open Sans" w:hAnsi="Open Sans" w:cs="Open Sans"/>
          <w:sz w:val="22"/>
          <w:szCs w:val="22"/>
        </w:rPr>
        <w:t xml:space="preserve"> (</w:t>
      </w:r>
      <w:hyperlink r:id="rId11" w:history="1">
        <w:r w:rsidR="003F5223" w:rsidRPr="00EF542C">
          <w:rPr>
            <w:rStyle w:val="Hyperlink"/>
            <w:rFonts w:ascii="Open Sans" w:hAnsi="Open Sans" w:cs="Open Sans"/>
            <w:sz w:val="22"/>
            <w:szCs w:val="22"/>
          </w:rPr>
          <w:t>Duty of Candour - Healthcare standards - gov.scot (www.gov.scot)</w:t>
        </w:r>
      </w:hyperlink>
      <w:r w:rsidR="003F5223" w:rsidRPr="00EF542C">
        <w:rPr>
          <w:rFonts w:ascii="Open Sans" w:hAnsi="Open Sans" w:cs="Open Sans"/>
          <w:sz w:val="22"/>
          <w:szCs w:val="22"/>
        </w:rPr>
        <w:t>)</w:t>
      </w:r>
    </w:p>
    <w:p w14:paraId="1088272D" w14:textId="77777777" w:rsidR="00844244" w:rsidRPr="00EF542C" w:rsidRDefault="00844244" w:rsidP="00EF542C">
      <w:pPr>
        <w:ind w:right="89"/>
        <w:jc w:val="both"/>
        <w:rPr>
          <w:rFonts w:ascii="Open Sans" w:hAnsi="Open Sans" w:cs="Open Sans"/>
          <w:sz w:val="22"/>
          <w:szCs w:val="22"/>
        </w:rPr>
      </w:pPr>
    </w:p>
    <w:p w14:paraId="2A9C86B6" w14:textId="04ECFCB5" w:rsidR="00844244" w:rsidRPr="00EF542C" w:rsidRDefault="00844244" w:rsidP="00EF542C">
      <w:pPr>
        <w:ind w:right="89"/>
        <w:jc w:val="both"/>
        <w:rPr>
          <w:rFonts w:ascii="Open Sans" w:hAnsi="Open Sans" w:cs="Open Sans"/>
          <w:b/>
          <w:bCs/>
          <w:sz w:val="22"/>
          <w:szCs w:val="22"/>
        </w:rPr>
      </w:pPr>
      <w:r w:rsidRPr="00EF542C">
        <w:rPr>
          <w:rFonts w:ascii="Open Sans" w:hAnsi="Open Sans" w:cs="Open Sans"/>
          <w:b/>
          <w:bCs/>
          <w:sz w:val="22"/>
          <w:szCs w:val="22"/>
        </w:rPr>
        <w:t>2. About our organisation</w:t>
      </w:r>
    </w:p>
    <w:p w14:paraId="37AD06BF" w14:textId="77777777" w:rsidR="00844244" w:rsidRPr="00EF542C" w:rsidRDefault="00844244" w:rsidP="00EF542C">
      <w:pPr>
        <w:ind w:right="89"/>
        <w:jc w:val="both"/>
        <w:rPr>
          <w:rFonts w:ascii="Open Sans" w:hAnsi="Open Sans" w:cs="Open Sans"/>
          <w:sz w:val="22"/>
          <w:szCs w:val="22"/>
        </w:rPr>
      </w:pPr>
    </w:p>
    <w:p w14:paraId="5F8779F6" w14:textId="77777777" w:rsidR="00B506DF" w:rsidRPr="00EF542C" w:rsidRDefault="00B506DF" w:rsidP="00EF542C">
      <w:pPr>
        <w:ind w:right="89"/>
        <w:jc w:val="both"/>
        <w:rPr>
          <w:rFonts w:ascii="Open Sans" w:hAnsi="Open Sans" w:cs="Open Sans"/>
          <w:sz w:val="22"/>
          <w:szCs w:val="22"/>
        </w:rPr>
      </w:pPr>
      <w:r w:rsidRPr="00EF542C">
        <w:rPr>
          <w:rFonts w:ascii="Open Sans" w:hAnsi="Open Sans" w:cs="Open Sans"/>
          <w:sz w:val="22"/>
          <w:szCs w:val="22"/>
        </w:rPr>
        <w:t>LOVE Care is a socially conscious and compassionate provider of residential and home care services across Scotland. We cater to individuals of all ages with varying needs.</w:t>
      </w:r>
    </w:p>
    <w:p w14:paraId="6B5EC53B" w14:textId="77777777" w:rsidR="00B506DF" w:rsidRPr="00EF542C" w:rsidRDefault="00B506DF" w:rsidP="00EF542C">
      <w:pPr>
        <w:ind w:right="89"/>
        <w:jc w:val="both"/>
        <w:rPr>
          <w:rFonts w:ascii="Open Sans" w:hAnsi="Open Sans" w:cs="Open Sans"/>
          <w:sz w:val="22"/>
          <w:szCs w:val="22"/>
        </w:rPr>
      </w:pPr>
    </w:p>
    <w:p w14:paraId="465AB067" w14:textId="77777777" w:rsidR="007B1CC8" w:rsidRPr="00EF542C" w:rsidRDefault="00B506DF" w:rsidP="00EF542C">
      <w:pPr>
        <w:ind w:right="89"/>
        <w:jc w:val="both"/>
        <w:rPr>
          <w:rFonts w:ascii="Open Sans" w:hAnsi="Open Sans" w:cs="Open Sans"/>
          <w:sz w:val="22"/>
          <w:szCs w:val="22"/>
        </w:rPr>
      </w:pPr>
      <w:r w:rsidRPr="00EF542C">
        <w:rPr>
          <w:rFonts w:ascii="Open Sans" w:hAnsi="Open Sans" w:cs="Open Sans"/>
          <w:sz w:val="22"/>
          <w:szCs w:val="22"/>
        </w:rPr>
        <w:t>LOVE Care specialises in delivering enhanced care packages that make a real difference.</w:t>
      </w:r>
      <w:r w:rsidR="007B1CC8" w:rsidRPr="00EF542C">
        <w:rPr>
          <w:rFonts w:ascii="Open Sans" w:hAnsi="Open Sans" w:cs="Open Sans"/>
          <w:sz w:val="22"/>
          <w:szCs w:val="22"/>
        </w:rPr>
        <w:t xml:space="preserve"> </w:t>
      </w:r>
      <w:r w:rsidR="007B1CC8" w:rsidRPr="00EF542C">
        <w:rPr>
          <w:rFonts w:ascii="Open Sans" w:hAnsi="Open Sans" w:cs="Open Sans"/>
          <w:sz w:val="22"/>
          <w:szCs w:val="22"/>
        </w:rPr>
        <w:t>We offer home care services that are combined with compassion, kindness and love, and provide mental health crisis support, end of life palliative care, personal care and domiciliary services.</w:t>
      </w:r>
    </w:p>
    <w:p w14:paraId="202E2ACC" w14:textId="77777777" w:rsidR="007B1CC8" w:rsidRPr="00EF542C" w:rsidRDefault="007B1CC8" w:rsidP="00EF542C">
      <w:pPr>
        <w:ind w:right="89"/>
        <w:jc w:val="both"/>
        <w:rPr>
          <w:rFonts w:ascii="Open Sans" w:hAnsi="Open Sans" w:cs="Open Sans"/>
          <w:sz w:val="22"/>
          <w:szCs w:val="22"/>
        </w:rPr>
      </w:pPr>
    </w:p>
    <w:p w14:paraId="1010A5FC" w14:textId="262CA39C" w:rsidR="00844244" w:rsidRPr="00EF542C" w:rsidRDefault="007B1CC8" w:rsidP="00EF542C">
      <w:pPr>
        <w:ind w:right="89"/>
        <w:jc w:val="both"/>
        <w:rPr>
          <w:rFonts w:ascii="Open Sans" w:hAnsi="Open Sans" w:cs="Open Sans"/>
          <w:sz w:val="22"/>
          <w:szCs w:val="22"/>
        </w:rPr>
      </w:pPr>
      <w:r w:rsidRPr="00EF542C">
        <w:rPr>
          <w:rFonts w:ascii="Open Sans" w:hAnsi="Open Sans" w:cs="Open Sans"/>
          <w:sz w:val="22"/>
          <w:szCs w:val="22"/>
        </w:rPr>
        <w:t>As part of our residential care offering, LOVE Care provides 24/7 tailored care services to children with social, emotional and behavioural needs for whom residential care is the only option. We complement our residential services with educational support to provide children the best available opportunities.</w:t>
      </w:r>
    </w:p>
    <w:p w14:paraId="794017F6" w14:textId="77777777" w:rsidR="00D33E0E" w:rsidRPr="00EF542C" w:rsidRDefault="00D33E0E" w:rsidP="00EF542C">
      <w:pPr>
        <w:ind w:right="89"/>
        <w:jc w:val="both"/>
        <w:rPr>
          <w:rFonts w:ascii="Open Sans" w:hAnsi="Open Sans" w:cs="Open Sans"/>
          <w:sz w:val="22"/>
          <w:szCs w:val="22"/>
        </w:rPr>
      </w:pPr>
    </w:p>
    <w:p w14:paraId="0D898B2D" w14:textId="6E4A86F0" w:rsidR="00D33E0E" w:rsidRPr="00EF542C" w:rsidRDefault="00D33E0E" w:rsidP="00EF542C">
      <w:pPr>
        <w:ind w:right="89"/>
        <w:jc w:val="both"/>
        <w:rPr>
          <w:rFonts w:ascii="Open Sans" w:hAnsi="Open Sans" w:cs="Open Sans"/>
          <w:b/>
          <w:bCs/>
          <w:sz w:val="22"/>
          <w:szCs w:val="22"/>
        </w:rPr>
      </w:pPr>
      <w:r w:rsidRPr="00EF542C">
        <w:rPr>
          <w:rFonts w:ascii="Open Sans" w:hAnsi="Open Sans" w:cs="Open Sans"/>
          <w:b/>
          <w:bCs/>
          <w:sz w:val="22"/>
          <w:szCs w:val="22"/>
        </w:rPr>
        <w:t>3. Duty of Candour Incidents</w:t>
      </w:r>
    </w:p>
    <w:p w14:paraId="150B6201" w14:textId="2D31EC35" w:rsidR="00655457" w:rsidRPr="00EF542C" w:rsidRDefault="00655457" w:rsidP="00EF542C">
      <w:pPr>
        <w:ind w:right="89"/>
        <w:jc w:val="both"/>
        <w:rPr>
          <w:rFonts w:ascii="Open Sans" w:hAnsi="Open Sans" w:cs="Open Sans"/>
          <w:sz w:val="22"/>
          <w:szCs w:val="22"/>
        </w:rPr>
      </w:pPr>
    </w:p>
    <w:p w14:paraId="7303998D" w14:textId="4FA4F884" w:rsidR="00D33E0E" w:rsidRPr="00EF542C" w:rsidRDefault="00D33E0E" w:rsidP="00EF542C">
      <w:pPr>
        <w:ind w:right="89"/>
        <w:jc w:val="both"/>
        <w:rPr>
          <w:rFonts w:ascii="Open Sans" w:hAnsi="Open Sans" w:cs="Open Sans"/>
          <w:sz w:val="22"/>
          <w:szCs w:val="22"/>
        </w:rPr>
      </w:pPr>
      <w:r w:rsidRPr="00EF542C">
        <w:rPr>
          <w:rFonts w:ascii="Open Sans" w:hAnsi="Open Sans" w:cs="Open Sans"/>
          <w:sz w:val="22"/>
          <w:szCs w:val="22"/>
        </w:rPr>
        <w:t>In the period 1 April 2021 – 31 March 2022, there were no incidents to which the duty of candour applied</w:t>
      </w:r>
    </w:p>
    <w:p w14:paraId="299E9184" w14:textId="77777777" w:rsidR="00D33E0E" w:rsidRPr="00EF542C" w:rsidRDefault="00D33E0E" w:rsidP="00EF542C">
      <w:pPr>
        <w:ind w:right="89"/>
        <w:jc w:val="both"/>
        <w:rPr>
          <w:rFonts w:ascii="Open Sans" w:hAnsi="Open Sans" w:cs="Open Sans"/>
          <w:sz w:val="22"/>
          <w:szCs w:val="22"/>
        </w:rPr>
      </w:pPr>
    </w:p>
    <w:tbl>
      <w:tblPr>
        <w:tblStyle w:val="TableGrid"/>
        <w:tblW w:w="0" w:type="auto"/>
        <w:tblLook w:val="04A0" w:firstRow="1" w:lastRow="0" w:firstColumn="1" w:lastColumn="0" w:noHBand="0" w:noVBand="1"/>
      </w:tblPr>
      <w:tblGrid>
        <w:gridCol w:w="6374"/>
        <w:gridCol w:w="2636"/>
      </w:tblGrid>
      <w:tr w:rsidR="00A620C0" w:rsidRPr="00EF542C" w14:paraId="74C7D9DA" w14:textId="77777777" w:rsidTr="007522BC">
        <w:tc>
          <w:tcPr>
            <w:tcW w:w="6374" w:type="dxa"/>
            <w:shd w:val="clear" w:color="auto" w:fill="FABF8F" w:themeFill="accent6" w:themeFillTint="99"/>
          </w:tcPr>
          <w:p w14:paraId="1C66F771" w14:textId="5147BE67" w:rsidR="00A620C0" w:rsidRPr="00EF542C" w:rsidRDefault="00A620C0" w:rsidP="00EF542C">
            <w:pPr>
              <w:ind w:right="89"/>
              <w:jc w:val="both"/>
              <w:rPr>
                <w:rFonts w:ascii="Open Sans" w:hAnsi="Open Sans" w:cs="Open Sans"/>
                <w:b/>
                <w:bCs/>
                <w:sz w:val="22"/>
                <w:szCs w:val="22"/>
              </w:rPr>
            </w:pPr>
            <w:r w:rsidRPr="00EF542C">
              <w:rPr>
                <w:rFonts w:ascii="Open Sans" w:hAnsi="Open Sans" w:cs="Open Sans"/>
                <w:b/>
                <w:bCs/>
                <w:sz w:val="22"/>
                <w:szCs w:val="22"/>
              </w:rPr>
              <w:t>Type of unexpected or unintended incident where Duty of Candour applies</w:t>
            </w:r>
          </w:p>
        </w:tc>
        <w:tc>
          <w:tcPr>
            <w:tcW w:w="2636" w:type="dxa"/>
            <w:shd w:val="clear" w:color="auto" w:fill="FABF8F" w:themeFill="accent6" w:themeFillTint="99"/>
          </w:tcPr>
          <w:p w14:paraId="352F5B21" w14:textId="3C7000E4" w:rsidR="00A620C0" w:rsidRPr="00EF542C" w:rsidRDefault="00A620C0" w:rsidP="00EF542C">
            <w:pPr>
              <w:ind w:right="89"/>
              <w:jc w:val="both"/>
              <w:rPr>
                <w:rFonts w:ascii="Open Sans" w:hAnsi="Open Sans" w:cs="Open Sans"/>
                <w:b/>
                <w:bCs/>
                <w:sz w:val="22"/>
                <w:szCs w:val="22"/>
              </w:rPr>
            </w:pPr>
            <w:r w:rsidRPr="00EF542C">
              <w:rPr>
                <w:rFonts w:ascii="Open Sans" w:hAnsi="Open Sans" w:cs="Open Sans"/>
                <w:b/>
                <w:bCs/>
                <w:sz w:val="22"/>
                <w:szCs w:val="22"/>
              </w:rPr>
              <w:t>Number of times this happened</w:t>
            </w:r>
          </w:p>
        </w:tc>
      </w:tr>
      <w:tr w:rsidR="00A620C0" w:rsidRPr="00EF542C" w14:paraId="62E8EEF9" w14:textId="77777777" w:rsidTr="007522BC">
        <w:tc>
          <w:tcPr>
            <w:tcW w:w="6374" w:type="dxa"/>
          </w:tcPr>
          <w:p w14:paraId="31FD6A5F" w14:textId="53CD4DFE" w:rsidR="00A620C0" w:rsidRPr="00EF542C" w:rsidRDefault="00A620C0" w:rsidP="00EF542C">
            <w:pPr>
              <w:ind w:right="89"/>
              <w:jc w:val="both"/>
              <w:rPr>
                <w:rFonts w:ascii="Open Sans" w:hAnsi="Open Sans" w:cs="Open Sans"/>
                <w:sz w:val="22"/>
                <w:szCs w:val="22"/>
              </w:rPr>
            </w:pPr>
            <w:r w:rsidRPr="00EF542C">
              <w:rPr>
                <w:rFonts w:ascii="Open Sans" w:hAnsi="Open Sans" w:cs="Open Sans"/>
                <w:sz w:val="22"/>
                <w:szCs w:val="22"/>
              </w:rPr>
              <w:t>A person died</w:t>
            </w:r>
          </w:p>
        </w:tc>
        <w:tc>
          <w:tcPr>
            <w:tcW w:w="2636" w:type="dxa"/>
          </w:tcPr>
          <w:p w14:paraId="61E680D2" w14:textId="0635F579" w:rsidR="00A620C0" w:rsidRPr="00EF542C" w:rsidRDefault="00A620C0" w:rsidP="00EF542C">
            <w:pPr>
              <w:ind w:right="89"/>
              <w:jc w:val="both"/>
              <w:rPr>
                <w:rFonts w:ascii="Open Sans" w:hAnsi="Open Sans" w:cs="Open Sans"/>
                <w:sz w:val="22"/>
                <w:szCs w:val="22"/>
              </w:rPr>
            </w:pPr>
            <w:r w:rsidRPr="00EF542C">
              <w:rPr>
                <w:rFonts w:ascii="Open Sans" w:hAnsi="Open Sans" w:cs="Open Sans"/>
                <w:sz w:val="22"/>
                <w:szCs w:val="22"/>
              </w:rPr>
              <w:t>0</w:t>
            </w:r>
          </w:p>
        </w:tc>
      </w:tr>
      <w:tr w:rsidR="00A620C0" w:rsidRPr="00EF542C" w14:paraId="5BDABC4F" w14:textId="77777777" w:rsidTr="007522BC">
        <w:tc>
          <w:tcPr>
            <w:tcW w:w="6374" w:type="dxa"/>
          </w:tcPr>
          <w:p w14:paraId="1D24BBDF" w14:textId="3965E8D9" w:rsidR="00A620C0" w:rsidRPr="00EF542C" w:rsidRDefault="007F52AF" w:rsidP="00EF542C">
            <w:pPr>
              <w:ind w:right="89"/>
              <w:jc w:val="both"/>
              <w:rPr>
                <w:rFonts w:ascii="Open Sans" w:hAnsi="Open Sans" w:cs="Open Sans"/>
                <w:sz w:val="22"/>
                <w:szCs w:val="22"/>
              </w:rPr>
            </w:pPr>
            <w:r w:rsidRPr="00EF542C">
              <w:rPr>
                <w:rFonts w:ascii="Open Sans" w:hAnsi="Open Sans" w:cs="Open Sans"/>
                <w:sz w:val="22"/>
                <w:szCs w:val="22"/>
              </w:rPr>
              <w:t>A permanent lessening of bodily, sensory, motor, physiologic or intellectual functions</w:t>
            </w:r>
          </w:p>
        </w:tc>
        <w:tc>
          <w:tcPr>
            <w:tcW w:w="2636" w:type="dxa"/>
          </w:tcPr>
          <w:p w14:paraId="254825B1" w14:textId="27EF7705" w:rsidR="00A620C0"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0</w:t>
            </w:r>
          </w:p>
        </w:tc>
      </w:tr>
      <w:tr w:rsidR="00A620C0" w:rsidRPr="00EF542C" w14:paraId="10A45903" w14:textId="77777777" w:rsidTr="007522BC">
        <w:tc>
          <w:tcPr>
            <w:tcW w:w="6374" w:type="dxa"/>
          </w:tcPr>
          <w:p w14:paraId="717707B3" w14:textId="01E9487D" w:rsidR="00A620C0" w:rsidRPr="00EF542C" w:rsidRDefault="00625FC1" w:rsidP="00EF542C">
            <w:pPr>
              <w:ind w:right="89"/>
              <w:jc w:val="both"/>
              <w:rPr>
                <w:rFonts w:ascii="Open Sans" w:hAnsi="Open Sans" w:cs="Open Sans"/>
                <w:sz w:val="22"/>
                <w:szCs w:val="22"/>
              </w:rPr>
            </w:pPr>
            <w:r w:rsidRPr="00EF542C">
              <w:rPr>
                <w:rFonts w:ascii="Open Sans" w:hAnsi="Open Sans" w:cs="Open Sans"/>
                <w:sz w:val="22"/>
                <w:szCs w:val="22"/>
              </w:rPr>
              <w:t>An increase in the Service User’s treatment</w:t>
            </w:r>
          </w:p>
        </w:tc>
        <w:tc>
          <w:tcPr>
            <w:tcW w:w="2636" w:type="dxa"/>
          </w:tcPr>
          <w:p w14:paraId="7E6F5888" w14:textId="28B5B483" w:rsidR="00A620C0"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0</w:t>
            </w:r>
          </w:p>
        </w:tc>
      </w:tr>
      <w:tr w:rsidR="00A620C0" w:rsidRPr="00EF542C" w14:paraId="0EDCC3EB" w14:textId="77777777" w:rsidTr="007522BC">
        <w:tc>
          <w:tcPr>
            <w:tcW w:w="6374" w:type="dxa"/>
          </w:tcPr>
          <w:p w14:paraId="0BF78875" w14:textId="7E614400" w:rsidR="00A620C0" w:rsidRPr="00EF542C" w:rsidRDefault="00625FC1" w:rsidP="00EF542C">
            <w:pPr>
              <w:ind w:right="89"/>
              <w:jc w:val="both"/>
              <w:rPr>
                <w:rFonts w:ascii="Open Sans" w:hAnsi="Open Sans" w:cs="Open Sans"/>
                <w:sz w:val="22"/>
                <w:szCs w:val="22"/>
              </w:rPr>
            </w:pPr>
            <w:r w:rsidRPr="00EF542C">
              <w:rPr>
                <w:rFonts w:ascii="Open Sans" w:hAnsi="Open Sans" w:cs="Open Sans"/>
                <w:sz w:val="22"/>
                <w:szCs w:val="22"/>
              </w:rPr>
              <w:t>Changes to the structure of the Service User’s body</w:t>
            </w:r>
          </w:p>
        </w:tc>
        <w:tc>
          <w:tcPr>
            <w:tcW w:w="2636" w:type="dxa"/>
          </w:tcPr>
          <w:p w14:paraId="323AA51B" w14:textId="5DDADA2F" w:rsidR="00A620C0"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0</w:t>
            </w:r>
          </w:p>
        </w:tc>
      </w:tr>
      <w:tr w:rsidR="00625FC1" w:rsidRPr="00EF542C" w14:paraId="76E6EB1A" w14:textId="77777777" w:rsidTr="007522BC">
        <w:tc>
          <w:tcPr>
            <w:tcW w:w="6374" w:type="dxa"/>
          </w:tcPr>
          <w:p w14:paraId="62EDC96C" w14:textId="1FCE7EDB" w:rsidR="00625FC1" w:rsidRPr="00EF542C" w:rsidRDefault="00C25702" w:rsidP="00EF542C">
            <w:pPr>
              <w:ind w:right="89"/>
              <w:jc w:val="both"/>
              <w:rPr>
                <w:rFonts w:ascii="Open Sans" w:hAnsi="Open Sans" w:cs="Open Sans"/>
                <w:sz w:val="22"/>
                <w:szCs w:val="22"/>
              </w:rPr>
            </w:pPr>
            <w:r w:rsidRPr="00EF542C">
              <w:rPr>
                <w:rFonts w:ascii="Open Sans" w:hAnsi="Open Sans" w:cs="Open Sans"/>
                <w:sz w:val="22"/>
                <w:szCs w:val="22"/>
              </w:rPr>
              <w:t>The shortening of the life expectancy of the Service Use</w:t>
            </w:r>
          </w:p>
        </w:tc>
        <w:tc>
          <w:tcPr>
            <w:tcW w:w="2636" w:type="dxa"/>
          </w:tcPr>
          <w:p w14:paraId="57551A83" w14:textId="2FF119B0" w:rsidR="00625FC1"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0</w:t>
            </w:r>
          </w:p>
        </w:tc>
      </w:tr>
      <w:tr w:rsidR="00625FC1" w:rsidRPr="00EF542C" w14:paraId="03110C90" w14:textId="77777777" w:rsidTr="007522BC">
        <w:tc>
          <w:tcPr>
            <w:tcW w:w="6374" w:type="dxa"/>
          </w:tcPr>
          <w:p w14:paraId="6C065F38" w14:textId="4CC37C8C" w:rsidR="00625FC1" w:rsidRPr="00EF542C" w:rsidRDefault="00C25702" w:rsidP="00EF542C">
            <w:pPr>
              <w:ind w:right="89"/>
              <w:jc w:val="both"/>
              <w:rPr>
                <w:rFonts w:ascii="Open Sans" w:hAnsi="Open Sans" w:cs="Open Sans"/>
                <w:sz w:val="22"/>
                <w:szCs w:val="22"/>
              </w:rPr>
            </w:pPr>
            <w:r w:rsidRPr="00EF542C">
              <w:rPr>
                <w:rFonts w:ascii="Open Sans" w:hAnsi="Open Sans" w:cs="Open Sans"/>
                <w:sz w:val="22"/>
                <w:szCs w:val="22"/>
              </w:rPr>
              <w:t>An impairment of the sensory, motor or intellectual functions of the Service User which has lasted, or is likely to last, for a continuous period of at least 28 days</w:t>
            </w:r>
          </w:p>
        </w:tc>
        <w:tc>
          <w:tcPr>
            <w:tcW w:w="2636" w:type="dxa"/>
          </w:tcPr>
          <w:p w14:paraId="4B7FDB68" w14:textId="4F733BE5" w:rsidR="00625FC1"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0</w:t>
            </w:r>
          </w:p>
        </w:tc>
      </w:tr>
      <w:tr w:rsidR="00625FC1" w:rsidRPr="00EF542C" w14:paraId="39C7786F" w14:textId="77777777" w:rsidTr="007522BC">
        <w:tc>
          <w:tcPr>
            <w:tcW w:w="6374" w:type="dxa"/>
          </w:tcPr>
          <w:p w14:paraId="20545925" w14:textId="4CA9E512" w:rsidR="00625FC1"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The Service User experiencing pain or psychological harm which has been, or is likely to be, experienced by the Service User for a continuous period of at least 28 days</w:t>
            </w:r>
          </w:p>
        </w:tc>
        <w:tc>
          <w:tcPr>
            <w:tcW w:w="2636" w:type="dxa"/>
          </w:tcPr>
          <w:p w14:paraId="5EECB422" w14:textId="12CD9A8F" w:rsidR="00625FC1"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0</w:t>
            </w:r>
          </w:p>
        </w:tc>
      </w:tr>
      <w:tr w:rsidR="00C25702" w:rsidRPr="00EF542C" w14:paraId="7092F639" w14:textId="77777777" w:rsidTr="007522BC">
        <w:tc>
          <w:tcPr>
            <w:tcW w:w="6374" w:type="dxa"/>
          </w:tcPr>
          <w:p w14:paraId="629D00CE" w14:textId="77777777" w:rsidR="00465B36"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The Service User requiring treatment by a registered health professional in order to prevent –</w:t>
            </w:r>
          </w:p>
          <w:p w14:paraId="3C34D932" w14:textId="77777777" w:rsidR="00465B36" w:rsidRPr="00EF542C" w:rsidRDefault="00465B36" w:rsidP="00EF542C">
            <w:pPr>
              <w:ind w:right="89"/>
              <w:jc w:val="both"/>
              <w:rPr>
                <w:rFonts w:ascii="Open Sans" w:hAnsi="Open Sans" w:cs="Open Sans"/>
                <w:sz w:val="22"/>
                <w:szCs w:val="22"/>
              </w:rPr>
            </w:pPr>
          </w:p>
          <w:p w14:paraId="527D1E64" w14:textId="77777777" w:rsidR="00465B36"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the death of the Service User, or</w:t>
            </w:r>
          </w:p>
          <w:p w14:paraId="175FEED9" w14:textId="2503CA41" w:rsidR="00C25702"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any injury to the Service User which, if left untreated, would lead to one or more of the outcomes mentioned above.</w:t>
            </w:r>
          </w:p>
        </w:tc>
        <w:tc>
          <w:tcPr>
            <w:tcW w:w="2636" w:type="dxa"/>
          </w:tcPr>
          <w:p w14:paraId="565AB307" w14:textId="74AF15AB" w:rsidR="00C25702" w:rsidRPr="00EF542C" w:rsidRDefault="00465B36" w:rsidP="00EF542C">
            <w:pPr>
              <w:ind w:right="89"/>
              <w:jc w:val="both"/>
              <w:rPr>
                <w:rFonts w:ascii="Open Sans" w:hAnsi="Open Sans" w:cs="Open Sans"/>
                <w:sz w:val="22"/>
                <w:szCs w:val="22"/>
              </w:rPr>
            </w:pPr>
            <w:r w:rsidRPr="00EF542C">
              <w:rPr>
                <w:rFonts w:ascii="Open Sans" w:hAnsi="Open Sans" w:cs="Open Sans"/>
                <w:sz w:val="22"/>
                <w:szCs w:val="22"/>
              </w:rPr>
              <w:t>0</w:t>
            </w:r>
          </w:p>
        </w:tc>
      </w:tr>
    </w:tbl>
    <w:p w14:paraId="3714A5FC" w14:textId="4035AF2D" w:rsidR="00D33E0E" w:rsidRPr="00EF542C" w:rsidRDefault="00D33E0E" w:rsidP="00EF542C">
      <w:pPr>
        <w:ind w:right="89"/>
        <w:jc w:val="both"/>
        <w:rPr>
          <w:rFonts w:ascii="Open Sans" w:hAnsi="Open Sans" w:cs="Open Sans"/>
          <w:sz w:val="22"/>
          <w:szCs w:val="22"/>
        </w:rPr>
      </w:pPr>
    </w:p>
    <w:p w14:paraId="72AA3B27" w14:textId="357B3550" w:rsidR="00CE2CA3" w:rsidRPr="00EF542C" w:rsidRDefault="00CE2CA3" w:rsidP="00EF542C">
      <w:pPr>
        <w:ind w:right="89"/>
        <w:jc w:val="both"/>
        <w:rPr>
          <w:rFonts w:ascii="Open Sans" w:hAnsi="Open Sans" w:cs="Open Sans"/>
          <w:b/>
          <w:bCs/>
          <w:sz w:val="22"/>
          <w:szCs w:val="22"/>
        </w:rPr>
      </w:pPr>
      <w:r w:rsidRPr="00EF542C">
        <w:rPr>
          <w:rFonts w:ascii="Open Sans" w:hAnsi="Open Sans" w:cs="Open Sans"/>
          <w:b/>
          <w:bCs/>
          <w:sz w:val="22"/>
          <w:szCs w:val="22"/>
        </w:rPr>
        <w:t xml:space="preserve">4. </w:t>
      </w:r>
      <w:r w:rsidRPr="00EF542C">
        <w:rPr>
          <w:rFonts w:ascii="Open Sans" w:hAnsi="Open Sans" w:cs="Open Sans"/>
          <w:b/>
          <w:bCs/>
          <w:sz w:val="22"/>
          <w:szCs w:val="22"/>
        </w:rPr>
        <w:t xml:space="preserve">Information about our </w:t>
      </w:r>
      <w:r w:rsidR="00DF1C94">
        <w:rPr>
          <w:rFonts w:ascii="Open Sans" w:hAnsi="Open Sans" w:cs="Open Sans"/>
          <w:b/>
          <w:bCs/>
          <w:sz w:val="22"/>
          <w:szCs w:val="22"/>
        </w:rPr>
        <w:t xml:space="preserve">Incident </w:t>
      </w:r>
      <w:r w:rsidRPr="00EF542C">
        <w:rPr>
          <w:rFonts w:ascii="Open Sans" w:hAnsi="Open Sans" w:cs="Open Sans"/>
          <w:b/>
          <w:bCs/>
          <w:sz w:val="22"/>
          <w:szCs w:val="22"/>
        </w:rPr>
        <w:t xml:space="preserve">policies &amp; procedures </w:t>
      </w:r>
    </w:p>
    <w:p w14:paraId="22DE8574" w14:textId="77777777" w:rsidR="00CE2CA3" w:rsidRPr="00EF542C" w:rsidRDefault="00CE2CA3" w:rsidP="00EF542C">
      <w:pPr>
        <w:ind w:right="89"/>
        <w:jc w:val="both"/>
        <w:rPr>
          <w:rFonts w:ascii="Open Sans" w:hAnsi="Open Sans" w:cs="Open Sans"/>
          <w:sz w:val="22"/>
          <w:szCs w:val="22"/>
        </w:rPr>
      </w:pPr>
    </w:p>
    <w:p w14:paraId="07AC4A39" w14:textId="59295CEB" w:rsidR="00CE2CA3" w:rsidRPr="00EF542C" w:rsidRDefault="00CE2CA3" w:rsidP="00EF542C">
      <w:pPr>
        <w:ind w:right="89"/>
        <w:jc w:val="both"/>
        <w:rPr>
          <w:rFonts w:ascii="Open Sans" w:hAnsi="Open Sans" w:cs="Open Sans"/>
          <w:sz w:val="22"/>
          <w:szCs w:val="22"/>
        </w:rPr>
      </w:pPr>
      <w:r w:rsidRPr="00EF542C">
        <w:rPr>
          <w:rFonts w:ascii="Open Sans" w:hAnsi="Open Sans" w:cs="Open Sans"/>
          <w:sz w:val="22"/>
          <w:szCs w:val="22"/>
        </w:rPr>
        <w:t xml:space="preserve">Incidents that occur in our services are reported through the organisation’s Incident </w:t>
      </w:r>
    </w:p>
    <w:p w14:paraId="47342A0D" w14:textId="51449361" w:rsidR="00CE2CA3" w:rsidRDefault="00CE2CA3" w:rsidP="00EF542C">
      <w:pPr>
        <w:ind w:right="89"/>
        <w:jc w:val="both"/>
        <w:rPr>
          <w:rFonts w:ascii="Open Sans" w:hAnsi="Open Sans" w:cs="Open Sans"/>
          <w:sz w:val="22"/>
          <w:szCs w:val="22"/>
        </w:rPr>
      </w:pPr>
      <w:r w:rsidRPr="00EF542C">
        <w:rPr>
          <w:rFonts w:ascii="Open Sans" w:hAnsi="Open Sans" w:cs="Open Sans"/>
          <w:sz w:val="22"/>
          <w:szCs w:val="22"/>
        </w:rPr>
        <w:lastRenderedPageBreak/>
        <w:t xml:space="preserve">reporting process. This ensures that the Senior Management and Executive Teams have the opportunity to examine, discuss and determine if an incident should be classed as a duty of candour. </w:t>
      </w:r>
    </w:p>
    <w:p w14:paraId="22FEDD45" w14:textId="77777777" w:rsidR="00DF1C94" w:rsidRPr="00EF542C" w:rsidRDefault="00DF1C94" w:rsidP="00EF542C">
      <w:pPr>
        <w:ind w:right="89"/>
        <w:jc w:val="both"/>
        <w:rPr>
          <w:rFonts w:ascii="Open Sans" w:hAnsi="Open Sans" w:cs="Open Sans"/>
          <w:sz w:val="22"/>
          <w:szCs w:val="22"/>
        </w:rPr>
      </w:pPr>
    </w:p>
    <w:p w14:paraId="373E147B" w14:textId="77777777" w:rsidR="00CE2CA3" w:rsidRPr="00EF542C" w:rsidRDefault="00CE2CA3" w:rsidP="00EF542C">
      <w:pPr>
        <w:ind w:right="89"/>
        <w:jc w:val="both"/>
        <w:rPr>
          <w:rFonts w:ascii="Open Sans" w:hAnsi="Open Sans" w:cs="Open Sans"/>
          <w:sz w:val="22"/>
          <w:szCs w:val="22"/>
        </w:rPr>
      </w:pPr>
      <w:r w:rsidRPr="00EF542C">
        <w:rPr>
          <w:rFonts w:ascii="Open Sans" w:hAnsi="Open Sans" w:cs="Open Sans"/>
          <w:sz w:val="22"/>
          <w:szCs w:val="22"/>
        </w:rPr>
        <w:t xml:space="preserve">Where something has happened that triggers the duty of candour procedure, this is </w:t>
      </w:r>
    </w:p>
    <w:p w14:paraId="3B78F94D" w14:textId="707B6788" w:rsidR="00CE2CA3" w:rsidRPr="00EF542C" w:rsidRDefault="00CE2CA3" w:rsidP="00EF542C">
      <w:pPr>
        <w:ind w:right="89"/>
        <w:jc w:val="both"/>
        <w:rPr>
          <w:rFonts w:ascii="Open Sans" w:hAnsi="Open Sans" w:cs="Open Sans"/>
          <w:sz w:val="22"/>
          <w:szCs w:val="22"/>
        </w:rPr>
      </w:pPr>
      <w:r w:rsidRPr="00EF542C">
        <w:rPr>
          <w:rFonts w:ascii="Open Sans" w:hAnsi="Open Sans" w:cs="Open Sans"/>
          <w:sz w:val="22"/>
          <w:szCs w:val="22"/>
        </w:rPr>
        <w:t xml:space="preserve">identified through our incident reporting process by staff. The </w:t>
      </w:r>
      <w:r w:rsidRPr="00EF542C">
        <w:rPr>
          <w:rFonts w:ascii="Open Sans" w:hAnsi="Open Sans" w:cs="Open Sans"/>
          <w:sz w:val="22"/>
          <w:szCs w:val="22"/>
        </w:rPr>
        <w:t>Registered</w:t>
      </w:r>
      <w:r w:rsidRPr="00EF542C">
        <w:rPr>
          <w:rFonts w:ascii="Open Sans" w:hAnsi="Open Sans" w:cs="Open Sans"/>
          <w:sz w:val="22"/>
          <w:szCs w:val="22"/>
        </w:rPr>
        <w:t xml:space="preserve"> Manager works in conjunction with the </w:t>
      </w:r>
      <w:r w:rsidRPr="00EF542C">
        <w:rPr>
          <w:rFonts w:ascii="Open Sans" w:hAnsi="Open Sans" w:cs="Open Sans"/>
          <w:sz w:val="22"/>
          <w:szCs w:val="22"/>
        </w:rPr>
        <w:t>Heads of Service</w:t>
      </w:r>
      <w:r w:rsidRPr="00EF542C">
        <w:rPr>
          <w:rFonts w:ascii="Open Sans" w:hAnsi="Open Sans" w:cs="Open Sans"/>
          <w:sz w:val="22"/>
          <w:szCs w:val="22"/>
        </w:rPr>
        <w:t xml:space="preserve"> who reports the incident to the Care Inspectorate. </w:t>
      </w:r>
    </w:p>
    <w:p w14:paraId="2D74470C" w14:textId="77777777" w:rsidR="00CE2CA3" w:rsidRPr="00EF542C" w:rsidRDefault="00CE2CA3" w:rsidP="00EF542C">
      <w:pPr>
        <w:ind w:right="89"/>
        <w:jc w:val="both"/>
        <w:rPr>
          <w:rFonts w:ascii="Open Sans" w:hAnsi="Open Sans" w:cs="Open Sans"/>
          <w:sz w:val="22"/>
          <w:szCs w:val="22"/>
        </w:rPr>
      </w:pPr>
    </w:p>
    <w:p w14:paraId="61EFD5ED" w14:textId="27AE5DB7" w:rsidR="00CE2CA3" w:rsidRPr="00EF542C" w:rsidRDefault="00CE2CA3" w:rsidP="00EF542C">
      <w:pPr>
        <w:ind w:right="89"/>
        <w:jc w:val="both"/>
        <w:rPr>
          <w:rFonts w:ascii="Open Sans" w:hAnsi="Open Sans" w:cs="Open Sans"/>
          <w:sz w:val="22"/>
          <w:szCs w:val="22"/>
        </w:rPr>
      </w:pPr>
      <w:r w:rsidRPr="00EF542C">
        <w:rPr>
          <w:rFonts w:ascii="Open Sans" w:hAnsi="Open Sans" w:cs="Open Sans"/>
          <w:sz w:val="22"/>
          <w:szCs w:val="22"/>
        </w:rPr>
        <w:t xml:space="preserve">When a duty of candour incident has happened, the manager and staff </w:t>
      </w:r>
      <w:r w:rsidR="00DF1C94">
        <w:rPr>
          <w:rFonts w:ascii="Open Sans" w:hAnsi="Open Sans" w:cs="Open Sans"/>
          <w:sz w:val="22"/>
          <w:szCs w:val="22"/>
        </w:rPr>
        <w:t xml:space="preserve">will </w:t>
      </w:r>
      <w:r w:rsidRPr="00EF542C">
        <w:rPr>
          <w:rFonts w:ascii="Open Sans" w:hAnsi="Open Sans" w:cs="Open Sans"/>
          <w:sz w:val="22"/>
          <w:szCs w:val="22"/>
        </w:rPr>
        <w:t xml:space="preserve">set up a learning review. This allows everyone involved to review what happened and to identify changes for the future. </w:t>
      </w:r>
    </w:p>
    <w:p w14:paraId="0E7B2DEB" w14:textId="77777777" w:rsidR="00CE2CA3" w:rsidRPr="00EF542C" w:rsidRDefault="00CE2CA3" w:rsidP="00EF542C">
      <w:pPr>
        <w:ind w:right="89"/>
        <w:jc w:val="both"/>
        <w:rPr>
          <w:rFonts w:ascii="Open Sans" w:hAnsi="Open Sans" w:cs="Open Sans"/>
          <w:sz w:val="22"/>
          <w:szCs w:val="22"/>
        </w:rPr>
      </w:pPr>
    </w:p>
    <w:p w14:paraId="48EEC083" w14:textId="5D3D0669" w:rsidR="00CE2CA3" w:rsidRPr="00EF542C" w:rsidRDefault="00CE2CA3" w:rsidP="00EF542C">
      <w:pPr>
        <w:ind w:right="89"/>
        <w:jc w:val="both"/>
        <w:rPr>
          <w:rFonts w:ascii="Open Sans" w:hAnsi="Open Sans" w:cs="Open Sans"/>
          <w:sz w:val="22"/>
          <w:szCs w:val="22"/>
        </w:rPr>
      </w:pPr>
      <w:r w:rsidRPr="00EF542C">
        <w:rPr>
          <w:rFonts w:ascii="Open Sans" w:hAnsi="Open Sans" w:cs="Open Sans"/>
          <w:sz w:val="22"/>
          <w:szCs w:val="22"/>
        </w:rPr>
        <w:t xml:space="preserve">All new staff learn about the duty of candour procedure during their </w:t>
      </w:r>
      <w:r w:rsidRPr="00EF542C">
        <w:rPr>
          <w:rFonts w:ascii="Open Sans" w:hAnsi="Open Sans" w:cs="Open Sans"/>
          <w:sz w:val="22"/>
          <w:szCs w:val="22"/>
        </w:rPr>
        <w:t>organisational</w:t>
      </w:r>
    </w:p>
    <w:p w14:paraId="0A5C2C26" w14:textId="092BCDA7" w:rsidR="00CE2CA3" w:rsidRPr="00EF542C" w:rsidRDefault="00CE2CA3" w:rsidP="00EF542C">
      <w:pPr>
        <w:ind w:right="89"/>
        <w:jc w:val="both"/>
        <w:rPr>
          <w:rFonts w:ascii="Open Sans" w:hAnsi="Open Sans" w:cs="Open Sans"/>
          <w:sz w:val="22"/>
          <w:szCs w:val="22"/>
        </w:rPr>
      </w:pPr>
      <w:r w:rsidRPr="00EF542C">
        <w:rPr>
          <w:rFonts w:ascii="Open Sans" w:hAnsi="Open Sans" w:cs="Open Sans"/>
          <w:sz w:val="22"/>
          <w:szCs w:val="22"/>
        </w:rPr>
        <w:t xml:space="preserve">induction training. </w:t>
      </w:r>
      <w:r w:rsidRPr="00EF542C">
        <w:rPr>
          <w:rFonts w:ascii="Open Sans" w:hAnsi="Open Sans" w:cs="Open Sans"/>
          <w:sz w:val="22"/>
          <w:szCs w:val="22"/>
        </w:rPr>
        <w:t xml:space="preserve"> </w:t>
      </w:r>
      <w:r w:rsidRPr="00EF542C">
        <w:rPr>
          <w:rFonts w:ascii="Open Sans" w:hAnsi="Open Sans" w:cs="Open Sans"/>
          <w:sz w:val="22"/>
          <w:szCs w:val="22"/>
        </w:rPr>
        <w:t xml:space="preserve">We know that serious mistakes can be distressing for staff as well </w:t>
      </w:r>
    </w:p>
    <w:p w14:paraId="5D8AE5C0" w14:textId="374D59D4" w:rsidR="00CE2CA3" w:rsidRPr="00EF542C" w:rsidRDefault="00CE2CA3" w:rsidP="00EF542C">
      <w:pPr>
        <w:ind w:right="89"/>
        <w:jc w:val="both"/>
        <w:rPr>
          <w:rFonts w:ascii="Open Sans" w:hAnsi="Open Sans" w:cs="Open Sans"/>
          <w:sz w:val="22"/>
          <w:szCs w:val="22"/>
        </w:rPr>
      </w:pPr>
      <w:r w:rsidRPr="00EF542C">
        <w:rPr>
          <w:rFonts w:ascii="Open Sans" w:hAnsi="Open Sans" w:cs="Open Sans"/>
          <w:sz w:val="22"/>
          <w:szCs w:val="22"/>
        </w:rPr>
        <w:t>as people who use our services and their families. We have support in place for our staff if they have been affected by a duty of candour incident.</w:t>
      </w:r>
    </w:p>
    <w:p w14:paraId="29EA7648" w14:textId="77777777" w:rsidR="00443AA3" w:rsidRPr="00EF542C" w:rsidRDefault="00443AA3" w:rsidP="00EF542C">
      <w:pPr>
        <w:ind w:right="89"/>
        <w:jc w:val="both"/>
        <w:rPr>
          <w:rFonts w:ascii="Open Sans" w:hAnsi="Open Sans" w:cs="Open Sans"/>
          <w:sz w:val="22"/>
          <w:szCs w:val="22"/>
        </w:rPr>
      </w:pPr>
    </w:p>
    <w:p w14:paraId="7BFFE10E" w14:textId="0AE22707" w:rsidR="00443AA3" w:rsidRPr="00DF1C94" w:rsidRDefault="00443AA3" w:rsidP="00EF542C">
      <w:pPr>
        <w:ind w:right="89"/>
        <w:jc w:val="both"/>
        <w:rPr>
          <w:rFonts w:ascii="Open Sans" w:hAnsi="Open Sans" w:cs="Open Sans"/>
          <w:b/>
          <w:bCs/>
          <w:sz w:val="22"/>
          <w:szCs w:val="22"/>
        </w:rPr>
      </w:pPr>
      <w:r w:rsidRPr="00DF1C94">
        <w:rPr>
          <w:rFonts w:ascii="Open Sans" w:hAnsi="Open Sans" w:cs="Open Sans"/>
          <w:b/>
          <w:bCs/>
          <w:sz w:val="22"/>
          <w:szCs w:val="22"/>
        </w:rPr>
        <w:t>5. Additional Information</w:t>
      </w:r>
    </w:p>
    <w:p w14:paraId="14389861" w14:textId="77777777" w:rsidR="00443AA3" w:rsidRPr="00EF542C" w:rsidRDefault="00443AA3" w:rsidP="00EF542C">
      <w:pPr>
        <w:ind w:right="89"/>
        <w:jc w:val="both"/>
        <w:rPr>
          <w:rFonts w:ascii="Open Sans" w:hAnsi="Open Sans" w:cs="Open Sans"/>
          <w:sz w:val="22"/>
          <w:szCs w:val="22"/>
        </w:rPr>
      </w:pPr>
    </w:p>
    <w:p w14:paraId="6C040C5E" w14:textId="77777777" w:rsidR="00EB71CF" w:rsidRPr="00EF542C" w:rsidRDefault="00EB71CF" w:rsidP="00EF542C">
      <w:pPr>
        <w:ind w:right="89"/>
        <w:jc w:val="both"/>
        <w:rPr>
          <w:rFonts w:ascii="Open Sans" w:hAnsi="Open Sans" w:cs="Open Sans"/>
          <w:sz w:val="22"/>
          <w:szCs w:val="22"/>
        </w:rPr>
      </w:pPr>
      <w:r w:rsidRPr="00EF542C">
        <w:rPr>
          <w:rFonts w:ascii="Open Sans" w:hAnsi="Open Sans" w:cs="Open Sans"/>
          <w:sz w:val="22"/>
          <w:szCs w:val="22"/>
        </w:rPr>
        <w:t xml:space="preserve">We also review all formal complaints for potential duty of candour incidents and may </w:t>
      </w:r>
    </w:p>
    <w:p w14:paraId="12B89E55" w14:textId="725B6430" w:rsidR="00443AA3" w:rsidRPr="00EF542C" w:rsidRDefault="00EB71CF" w:rsidP="00EF542C">
      <w:pPr>
        <w:ind w:right="89"/>
        <w:jc w:val="both"/>
        <w:rPr>
          <w:rFonts w:ascii="Open Sans" w:hAnsi="Open Sans" w:cs="Open Sans"/>
          <w:sz w:val="22"/>
          <w:szCs w:val="22"/>
        </w:rPr>
      </w:pPr>
      <w:r w:rsidRPr="00EF542C">
        <w:rPr>
          <w:rFonts w:ascii="Open Sans" w:hAnsi="Open Sans" w:cs="Open Sans"/>
          <w:sz w:val="22"/>
          <w:szCs w:val="22"/>
        </w:rPr>
        <w:t>initiate a significant adverse event review following receipt of a complaint.</w:t>
      </w:r>
    </w:p>
    <w:p w14:paraId="22E102E8" w14:textId="77777777" w:rsidR="00EF542C" w:rsidRPr="00EF542C" w:rsidRDefault="00EF542C" w:rsidP="00EF542C">
      <w:pPr>
        <w:ind w:right="89"/>
        <w:jc w:val="both"/>
        <w:rPr>
          <w:rFonts w:ascii="Open Sans" w:hAnsi="Open Sans" w:cs="Open Sans"/>
          <w:sz w:val="22"/>
          <w:szCs w:val="22"/>
        </w:rPr>
      </w:pPr>
    </w:p>
    <w:p w14:paraId="0B60F5A9" w14:textId="6971E19D" w:rsidR="00EF542C" w:rsidRPr="00EF542C" w:rsidRDefault="00EF542C" w:rsidP="00EF542C">
      <w:pPr>
        <w:ind w:right="89"/>
        <w:jc w:val="both"/>
        <w:rPr>
          <w:rFonts w:ascii="Open Sans" w:hAnsi="Open Sans" w:cs="Open Sans"/>
          <w:sz w:val="22"/>
          <w:szCs w:val="22"/>
        </w:rPr>
      </w:pPr>
      <w:r w:rsidRPr="00EF542C">
        <w:rPr>
          <w:rFonts w:ascii="Open Sans" w:hAnsi="Open Sans" w:cs="Open Sans"/>
          <w:sz w:val="22"/>
          <w:szCs w:val="22"/>
        </w:rPr>
        <w:t xml:space="preserve">Love @ Care </w:t>
      </w:r>
      <w:r w:rsidRPr="00EF542C">
        <w:rPr>
          <w:rFonts w:ascii="Open Sans" w:hAnsi="Open Sans" w:cs="Open Sans"/>
          <w:sz w:val="22"/>
          <w:szCs w:val="22"/>
        </w:rPr>
        <w:t>continues to monitor and review its policies and procedures, to include risk management and training for staff. Such a proactive approach has supported us in meeting the challenges of the ongoing COVID19 crisis which through our proactive planning and processes has minimised the impact on the organisation and the vulnerable people we support</w:t>
      </w:r>
    </w:p>
    <w:p w14:paraId="06164A08" w14:textId="2AA78790" w:rsidR="00844244" w:rsidRPr="00EF542C" w:rsidRDefault="00844244" w:rsidP="00EF542C">
      <w:pPr>
        <w:ind w:right="89"/>
        <w:jc w:val="both"/>
        <w:rPr>
          <w:rFonts w:ascii="Open Sans" w:hAnsi="Open Sans" w:cs="Open Sans"/>
          <w:sz w:val="22"/>
          <w:szCs w:val="22"/>
        </w:rPr>
      </w:pPr>
    </w:p>
    <w:p w14:paraId="405EE9BB" w14:textId="4CC27199" w:rsidR="00EB71CF" w:rsidRDefault="00EB71CF" w:rsidP="00EF542C">
      <w:pPr>
        <w:ind w:right="89"/>
        <w:jc w:val="both"/>
        <w:rPr>
          <w:rFonts w:ascii="Open Sans" w:hAnsi="Open Sans" w:cs="Open Sans"/>
          <w:sz w:val="22"/>
          <w:szCs w:val="22"/>
        </w:rPr>
      </w:pPr>
      <w:r w:rsidRPr="00EF542C">
        <w:rPr>
          <w:rFonts w:ascii="Open Sans" w:hAnsi="Open Sans" w:cs="Open Sans"/>
          <w:sz w:val="22"/>
          <w:szCs w:val="22"/>
        </w:rPr>
        <w:t>If you would like more information about this report, please contact us using the contact details found on our website</w:t>
      </w:r>
      <w:r w:rsidRPr="00EB71CF">
        <w:rPr>
          <w:rFonts w:ascii="Open Sans" w:hAnsi="Open Sans" w:cs="Open Sans"/>
          <w:sz w:val="22"/>
          <w:szCs w:val="22"/>
        </w:rPr>
        <w:t>.</w:t>
      </w:r>
    </w:p>
    <w:p w14:paraId="011993F0" w14:textId="77777777" w:rsidR="006C3FA7" w:rsidRDefault="006C3FA7" w:rsidP="00EF542C">
      <w:pPr>
        <w:ind w:right="89"/>
        <w:jc w:val="both"/>
        <w:rPr>
          <w:rFonts w:ascii="Open Sans" w:hAnsi="Open Sans" w:cs="Open Sans"/>
          <w:sz w:val="22"/>
          <w:szCs w:val="22"/>
        </w:rPr>
      </w:pPr>
    </w:p>
    <w:p w14:paraId="1EBA2ECE" w14:textId="77777777" w:rsidR="006C3FA7" w:rsidRDefault="006C3FA7" w:rsidP="00EF542C">
      <w:pPr>
        <w:ind w:right="89"/>
        <w:jc w:val="both"/>
        <w:rPr>
          <w:rFonts w:ascii="Open Sans" w:hAnsi="Open Sans" w:cs="Open Sans"/>
          <w:sz w:val="22"/>
          <w:szCs w:val="22"/>
        </w:rPr>
      </w:pPr>
    </w:p>
    <w:p w14:paraId="5CBEFD0E" w14:textId="5F39F57B" w:rsidR="006C3FA7" w:rsidRPr="006C3FA7" w:rsidRDefault="006C3FA7" w:rsidP="00EF542C">
      <w:pPr>
        <w:ind w:right="89"/>
        <w:jc w:val="both"/>
        <w:rPr>
          <w:rFonts w:ascii="Open Sans" w:hAnsi="Open Sans" w:cs="Open Sans"/>
          <w:b/>
          <w:bCs/>
          <w:sz w:val="22"/>
          <w:szCs w:val="22"/>
        </w:rPr>
      </w:pPr>
      <w:r w:rsidRPr="006C3FA7">
        <w:rPr>
          <w:rFonts w:ascii="Open Sans" w:hAnsi="Open Sans" w:cs="Open Sans"/>
          <w:b/>
          <w:bCs/>
          <w:sz w:val="22"/>
          <w:szCs w:val="22"/>
        </w:rPr>
        <w:t>Lynn Black</w:t>
      </w:r>
    </w:p>
    <w:p w14:paraId="75A1538D" w14:textId="007C696C" w:rsidR="006C3FA7" w:rsidRPr="006C3FA7" w:rsidRDefault="006C3FA7" w:rsidP="00EF542C">
      <w:pPr>
        <w:ind w:right="89"/>
        <w:jc w:val="both"/>
        <w:rPr>
          <w:rFonts w:ascii="Open Sans" w:hAnsi="Open Sans" w:cs="Open Sans"/>
          <w:b/>
          <w:bCs/>
          <w:sz w:val="22"/>
          <w:szCs w:val="22"/>
        </w:rPr>
      </w:pPr>
      <w:r w:rsidRPr="006C3FA7">
        <w:rPr>
          <w:rFonts w:ascii="Open Sans" w:hAnsi="Open Sans" w:cs="Open Sans"/>
          <w:b/>
          <w:bCs/>
          <w:sz w:val="22"/>
          <w:szCs w:val="22"/>
        </w:rPr>
        <w:t>Chief Executive Officer</w:t>
      </w:r>
    </w:p>
    <w:sectPr w:rsidR="006C3FA7" w:rsidRPr="006C3FA7" w:rsidSect="007125A8">
      <w:headerReference w:type="default" r:id="rId12"/>
      <w:foot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794E" w14:textId="77777777" w:rsidR="006334BE" w:rsidRDefault="006334BE" w:rsidP="00690611">
      <w:r>
        <w:separator/>
      </w:r>
    </w:p>
  </w:endnote>
  <w:endnote w:type="continuationSeparator" w:id="0">
    <w:p w14:paraId="0672A6CC" w14:textId="77777777" w:rsidR="006334BE" w:rsidRDefault="006334BE" w:rsidP="0069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6B90" w14:textId="47C7FDCC" w:rsidR="00407974" w:rsidRDefault="00407974" w:rsidP="00EF542C">
    <w:pPr>
      <w:pStyle w:val="Footer"/>
      <w:ind w:left="-1418"/>
    </w:pPr>
    <w:r>
      <w:rPr>
        <w:noProof/>
        <w:lang w:val="en-US"/>
      </w:rPr>
      <w:drawing>
        <wp:inline distT="0" distB="0" distL="0" distR="0" wp14:anchorId="5E6068CE" wp14:editId="42B4C214">
          <wp:extent cx="7556500" cy="1111885"/>
          <wp:effectExtent l="0" t="0" r="1270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letterhead - 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11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B811" w14:textId="77777777" w:rsidR="006334BE" w:rsidRDefault="006334BE" w:rsidP="00690611">
      <w:r>
        <w:separator/>
      </w:r>
    </w:p>
  </w:footnote>
  <w:footnote w:type="continuationSeparator" w:id="0">
    <w:p w14:paraId="572FD514" w14:textId="77777777" w:rsidR="006334BE" w:rsidRDefault="006334BE" w:rsidP="0069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D984" w14:textId="1908338B" w:rsidR="00690611" w:rsidRDefault="00407974" w:rsidP="007125A8">
    <w:pPr>
      <w:pStyle w:val="Header"/>
      <w:ind w:hanging="1418"/>
    </w:pPr>
    <w:r>
      <w:rPr>
        <w:noProof/>
        <w:lang w:val="en-US"/>
      </w:rPr>
      <w:drawing>
        <wp:inline distT="0" distB="0" distL="0" distR="0" wp14:anchorId="6AAE1543" wp14:editId="7F8B5F7E">
          <wp:extent cx="7556500" cy="140398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letterhead - head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403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20E3"/>
    <w:multiLevelType w:val="hybridMultilevel"/>
    <w:tmpl w:val="1F5A06E2"/>
    <w:lvl w:ilvl="0" w:tplc="18DAD0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46A38"/>
    <w:multiLevelType w:val="hybridMultilevel"/>
    <w:tmpl w:val="8B36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72345">
    <w:abstractNumId w:val="0"/>
  </w:num>
  <w:num w:numId="2" w16cid:durableId="19604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11"/>
    <w:rsid w:val="000807FD"/>
    <w:rsid w:val="00154D3A"/>
    <w:rsid w:val="001A3FBE"/>
    <w:rsid w:val="001F13D7"/>
    <w:rsid w:val="00264909"/>
    <w:rsid w:val="00314A7E"/>
    <w:rsid w:val="003F5223"/>
    <w:rsid w:val="00407974"/>
    <w:rsid w:val="00443AA3"/>
    <w:rsid w:val="00465B36"/>
    <w:rsid w:val="004722B4"/>
    <w:rsid w:val="004C7D85"/>
    <w:rsid w:val="004E30C3"/>
    <w:rsid w:val="004F6D19"/>
    <w:rsid w:val="00517AF8"/>
    <w:rsid w:val="00594169"/>
    <w:rsid w:val="005E277D"/>
    <w:rsid w:val="00610D24"/>
    <w:rsid w:val="00625FC1"/>
    <w:rsid w:val="006334BE"/>
    <w:rsid w:val="00643C2D"/>
    <w:rsid w:val="00655457"/>
    <w:rsid w:val="00664E3B"/>
    <w:rsid w:val="00690611"/>
    <w:rsid w:val="006C3FA7"/>
    <w:rsid w:val="00702567"/>
    <w:rsid w:val="007125A8"/>
    <w:rsid w:val="007522BC"/>
    <w:rsid w:val="007B1CC8"/>
    <w:rsid w:val="007E108C"/>
    <w:rsid w:val="007F52AF"/>
    <w:rsid w:val="008249E7"/>
    <w:rsid w:val="00844244"/>
    <w:rsid w:val="008557E7"/>
    <w:rsid w:val="00884E1C"/>
    <w:rsid w:val="008C549F"/>
    <w:rsid w:val="00924F82"/>
    <w:rsid w:val="00962FFC"/>
    <w:rsid w:val="00A0345A"/>
    <w:rsid w:val="00A14B46"/>
    <w:rsid w:val="00A16F93"/>
    <w:rsid w:val="00A239A7"/>
    <w:rsid w:val="00A45469"/>
    <w:rsid w:val="00A620C0"/>
    <w:rsid w:val="00A927C3"/>
    <w:rsid w:val="00AB588C"/>
    <w:rsid w:val="00B10014"/>
    <w:rsid w:val="00B506DF"/>
    <w:rsid w:val="00BC1CEF"/>
    <w:rsid w:val="00BD6851"/>
    <w:rsid w:val="00C138E9"/>
    <w:rsid w:val="00C25702"/>
    <w:rsid w:val="00CE2CA3"/>
    <w:rsid w:val="00D33E0E"/>
    <w:rsid w:val="00D41368"/>
    <w:rsid w:val="00D9660B"/>
    <w:rsid w:val="00DC53DF"/>
    <w:rsid w:val="00DF1C94"/>
    <w:rsid w:val="00E25577"/>
    <w:rsid w:val="00EA0F6E"/>
    <w:rsid w:val="00EB71CF"/>
    <w:rsid w:val="00EF542C"/>
    <w:rsid w:val="00F20B3D"/>
    <w:rsid w:val="00F32627"/>
    <w:rsid w:val="00F534DD"/>
    <w:rsid w:val="00F835EA"/>
    <w:rsid w:val="00F90A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24F9A"/>
  <w14:defaultImageDpi w14:val="300"/>
  <w15:docId w15:val="{860935A8-5216-44B3-ADA2-BDB6BD7D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611"/>
    <w:pPr>
      <w:tabs>
        <w:tab w:val="center" w:pos="4320"/>
        <w:tab w:val="right" w:pos="8640"/>
      </w:tabs>
    </w:pPr>
  </w:style>
  <w:style w:type="character" w:customStyle="1" w:styleId="HeaderChar">
    <w:name w:val="Header Char"/>
    <w:basedOn w:val="DefaultParagraphFont"/>
    <w:link w:val="Header"/>
    <w:uiPriority w:val="99"/>
    <w:rsid w:val="00690611"/>
  </w:style>
  <w:style w:type="paragraph" w:styleId="Footer">
    <w:name w:val="footer"/>
    <w:basedOn w:val="Normal"/>
    <w:link w:val="FooterChar"/>
    <w:uiPriority w:val="99"/>
    <w:unhideWhenUsed/>
    <w:rsid w:val="00690611"/>
    <w:pPr>
      <w:tabs>
        <w:tab w:val="center" w:pos="4320"/>
        <w:tab w:val="right" w:pos="8640"/>
      </w:tabs>
    </w:pPr>
  </w:style>
  <w:style w:type="character" w:customStyle="1" w:styleId="FooterChar">
    <w:name w:val="Footer Char"/>
    <w:basedOn w:val="DefaultParagraphFont"/>
    <w:link w:val="Footer"/>
    <w:uiPriority w:val="99"/>
    <w:rsid w:val="00690611"/>
  </w:style>
  <w:style w:type="paragraph" w:styleId="BalloonText">
    <w:name w:val="Balloon Text"/>
    <w:basedOn w:val="Normal"/>
    <w:link w:val="BalloonTextChar"/>
    <w:uiPriority w:val="99"/>
    <w:semiHidden/>
    <w:unhideWhenUsed/>
    <w:rsid w:val="00690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611"/>
    <w:rPr>
      <w:rFonts w:ascii="Lucida Grande" w:hAnsi="Lucida Grande" w:cs="Lucida Grande"/>
      <w:sz w:val="18"/>
      <w:szCs w:val="18"/>
    </w:rPr>
  </w:style>
  <w:style w:type="character" w:styleId="Hyperlink">
    <w:name w:val="Hyperlink"/>
    <w:basedOn w:val="DefaultParagraphFont"/>
    <w:uiPriority w:val="99"/>
    <w:unhideWhenUsed/>
    <w:rsid w:val="00655457"/>
    <w:rPr>
      <w:color w:val="0000FF" w:themeColor="hyperlink"/>
      <w:u w:val="single"/>
    </w:rPr>
  </w:style>
  <w:style w:type="character" w:styleId="UnresolvedMention">
    <w:name w:val="Unresolved Mention"/>
    <w:basedOn w:val="DefaultParagraphFont"/>
    <w:uiPriority w:val="99"/>
    <w:semiHidden/>
    <w:unhideWhenUsed/>
    <w:rsid w:val="00655457"/>
    <w:rPr>
      <w:color w:val="605E5C"/>
      <w:shd w:val="clear" w:color="auto" w:fill="E1DFDD"/>
    </w:rPr>
  </w:style>
  <w:style w:type="paragraph" w:styleId="ListParagraph">
    <w:name w:val="List Paragraph"/>
    <w:basedOn w:val="Normal"/>
    <w:uiPriority w:val="34"/>
    <w:qFormat/>
    <w:rsid w:val="00924F82"/>
    <w:pPr>
      <w:ind w:left="720"/>
      <w:contextualSpacing/>
    </w:pPr>
  </w:style>
  <w:style w:type="table" w:styleId="TableGrid">
    <w:name w:val="Table Grid"/>
    <w:basedOn w:val="TableNormal"/>
    <w:uiPriority w:val="59"/>
    <w:rsid w:val="00A6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032973">
      <w:bodyDiv w:val="1"/>
      <w:marLeft w:val="0"/>
      <w:marRight w:val="0"/>
      <w:marTop w:val="0"/>
      <w:marBottom w:val="0"/>
      <w:divBdr>
        <w:top w:val="none" w:sz="0" w:space="0" w:color="auto"/>
        <w:left w:val="none" w:sz="0" w:space="0" w:color="auto"/>
        <w:bottom w:val="none" w:sz="0" w:space="0" w:color="auto"/>
        <w:right w:val="none" w:sz="0" w:space="0" w:color="auto"/>
      </w:divBdr>
    </w:div>
    <w:div w:id="135654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olicies/healthcare-standards/duty-of-candou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scot/publications/organisational-duty-candour-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D8C861212BB7419D63DAA33DDC58D4" ma:contentTypeVersion="6" ma:contentTypeDescription="Create a new document." ma:contentTypeScope="" ma:versionID="a9da55620a6adbcd78c7728b3625c5ff">
  <xsd:schema xmlns:xsd="http://www.w3.org/2001/XMLSchema" xmlns:xs="http://www.w3.org/2001/XMLSchema" xmlns:p="http://schemas.microsoft.com/office/2006/metadata/properties" xmlns:ns2="f5da9184-d323-45b3-b7f8-eb300bea9c41" xmlns:ns3="60afbd5c-5fa9-442a-b151-9532b2531791" targetNamespace="http://schemas.microsoft.com/office/2006/metadata/properties" ma:root="true" ma:fieldsID="94a751b3490133420f757d240795eb2a" ns2:_="" ns3:_="">
    <xsd:import namespace="f5da9184-d323-45b3-b7f8-eb300bea9c41"/>
    <xsd:import namespace="60afbd5c-5fa9-442a-b151-9532b2531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a9184-d323-45b3-b7f8-eb300bea9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fbd5c-5fa9-442a-b151-9532b2531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6B4A2-15E6-4E2A-879C-5A8891E258B8}">
  <ds:schemaRefs>
    <ds:schemaRef ds:uri="http://purl.org/dc/elements/1.1/"/>
    <ds:schemaRef ds:uri="http://purl.org/dc/terms/"/>
    <ds:schemaRef ds:uri="http://purl.org/dc/dcmitype/"/>
    <ds:schemaRef ds:uri="f5da9184-d323-45b3-b7f8-eb300bea9c4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0afbd5c-5fa9-442a-b151-9532b2531791"/>
    <ds:schemaRef ds:uri="http://www.w3.org/XML/1998/namespace"/>
  </ds:schemaRefs>
</ds:datastoreItem>
</file>

<file path=customXml/itemProps2.xml><?xml version="1.0" encoding="utf-8"?>
<ds:datastoreItem xmlns:ds="http://schemas.openxmlformats.org/officeDocument/2006/customXml" ds:itemID="{1CA244A9-1B0F-4E8D-9116-8B1C8B65D362}">
  <ds:schemaRefs>
    <ds:schemaRef ds:uri="http://schemas.microsoft.com/sharepoint/v3/contenttype/forms"/>
  </ds:schemaRefs>
</ds:datastoreItem>
</file>

<file path=customXml/itemProps3.xml><?xml version="1.0" encoding="utf-8"?>
<ds:datastoreItem xmlns:ds="http://schemas.openxmlformats.org/officeDocument/2006/customXml" ds:itemID="{D84A98CC-3865-4F15-B95E-A52783619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a9184-d323-45b3-b7f8-eb300bea9c41"/>
    <ds:schemaRef ds:uri="60afbd5c-5fa9-442a-b151-9532b2531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Blunden</dc:creator>
  <cp:keywords/>
  <dc:description/>
  <cp:lastModifiedBy>Louise Tait</cp:lastModifiedBy>
  <cp:revision>24</cp:revision>
  <cp:lastPrinted>2020-06-15T11:05:00Z</cp:lastPrinted>
  <dcterms:created xsi:type="dcterms:W3CDTF">2022-09-08T13:22:00Z</dcterms:created>
  <dcterms:modified xsi:type="dcterms:W3CDTF">2022-09-08T14:24:00Z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0x0101000AD8C861212BB7419D63DAA33DDC58D4</vt:lpwstr>
  </property>
</Properties>
</file>